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483235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24"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No. </w:t>
      </w:r>
      <w:r>
        <w:rPr>
          <w:rFonts w:ascii="Arial" w:cs="Arial" w:eastAsia="Arial" w:hAnsi="Arial"/>
          <w:sz w:val="18"/>
          <w:szCs w:val="18"/>
          <w:b w:val="1"/>
          <w:bCs w:val="1"/>
          <w:color w:val="auto"/>
        </w:rPr>
        <w:t>1-2921</w:t>
      </w: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PANHANDLE EASTERN PIPE LINE COMPANY,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909" w:right="239" w:bottom="1440" w:gutter="0" w:footer="0" w:header="0"/>
        </w:sectPr>
      </w:pPr>
    </w:p>
    <w:p>
      <w:pPr>
        <w:spacing w:after="0" w:line="313"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44-0382470</w:t>
      </w:r>
    </w:p>
    <w:p>
      <w:pPr>
        <w:spacing w:after="0" w:line="86" w:lineRule="exact"/>
        <w:rPr>
          <w:sz w:val="24"/>
          <w:szCs w:val="24"/>
          <w:color w:val="auto"/>
        </w:rPr>
      </w:pPr>
    </w:p>
    <w:p>
      <w:pPr>
        <w:sectPr>
          <w:pgSz w:w="11900" w:h="16838" w:orient="portrait"/>
          <w:cols w:equalWidth="0" w:num="2">
            <w:col w:w="7400" w:space="720"/>
            <w:col w:w="3300"/>
          </w:cols>
          <w:pgMar w:left="240" w:top="909" w:right="239" w:bottom="1440" w:gutter="0" w:footer="0" w:header="0"/>
          <w:type w:val="continuous"/>
        </w:sectPr>
      </w:pPr>
    </w:p>
    <w:p>
      <w:pPr>
        <w:ind w:left="20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200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177" w:lineRule="exact"/>
        <w:rPr>
          <w:sz w:val="24"/>
          <w:szCs w:val="24"/>
          <w:color w:val="auto"/>
        </w:rPr>
      </w:pPr>
    </w:p>
    <w:p>
      <w:pPr>
        <w:sectPr>
          <w:pgSz w:w="11900" w:h="16838" w:orient="portrait"/>
          <w:cols w:equalWidth="0" w:num="2">
            <w:col w:w="7300" w:space="720"/>
            <w:col w:w="3400"/>
          </w:cols>
          <w:pgMar w:left="240" w:top="90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3738 Oak Lawn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Dallas, Texas 75219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principle executive offices) (zip code)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420"/>
          </w:cols>
          <w:pgMar w:left="240" w:top="909" w:right="239" w:bottom="1440" w:gutter="0" w:footer="0" w:header="0"/>
          <w:type w:val="continuous"/>
        </w:sectPr>
      </w:pPr>
    </w:p>
    <w:p>
      <w:pPr>
        <w:spacing w:after="0" w:line="2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 w:lineRule="exact"/>
        <w:rPr>
          <w:sz w:val="24"/>
          <w:szCs w:val="24"/>
          <w:color w:val="auto"/>
        </w:rPr>
      </w:pPr>
    </w:p>
    <w:p>
      <w:pPr>
        <w:spacing w:after="0" w:line="207" w:lineRule="exact"/>
        <w:tabs>
          <w:tab w:leader="none" w:pos="34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x  Smaller reporting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16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Panhandle Eastern Pipe Line Company, LP meets the conditions set forth in General Instructions H(1)(a) and (b) of Form 10-Q and is therefore filing this Form 10-Q with the reduced disclosure format. Item 2 of Part I has been reduced and Item 3 of Part I and Items 2 and 3 of Part II have been omitted in accordance with Instruction H.</w:t>
      </w:r>
    </w:p>
    <w:p>
      <w:pPr>
        <w:sectPr>
          <w:pgSz w:w="11900" w:h="16838" w:orient="portrait"/>
          <w:cols w:equalWidth="0" w:num="1">
            <w:col w:w="11420"/>
          </w:cols>
          <w:pgMar w:left="240" w:top="909"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4"/>
          </w:tcPr>
          <w:p>
            <w:pPr>
              <w:ind w:left="200"/>
              <w:spacing w:after="0"/>
              <w:rPr>
                <w:sz w:val="20"/>
                <w:szCs w:val="20"/>
                <w:color w:val="auto"/>
              </w:rPr>
            </w:pPr>
            <w:r>
              <w:rPr>
                <w:rFonts w:ascii="Arial" w:cs="Arial" w:eastAsia="Arial" w:hAnsi="Arial"/>
                <w:sz w:val="18"/>
                <w:szCs w:val="18"/>
                <w:b w:val="1"/>
                <w:bCs w:val="1"/>
                <w:color w:val="auto"/>
                <w:w w:val="93"/>
              </w:rPr>
              <w:t>PAGE</w:t>
            </w:r>
          </w:p>
        </w:tc>
      </w:tr>
      <w:tr>
        <w:trPr>
          <w:trHeight w:val="250"/>
        </w:trPr>
        <w:tc>
          <w:tcPr>
            <w:tcW w:w="10480" w:type="dxa"/>
            <w:vAlign w:val="bottom"/>
            <w:gridSpan w:val="2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10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500" w:type="dxa"/>
            <w:vAlign w:val="bottom"/>
            <w:gridSpan w:val="3"/>
          </w:tcPr>
          <w:p>
            <w:pPr>
              <w:jc w:val="center"/>
              <w:ind w:left="310"/>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200" w:type="dxa"/>
            <w:vAlign w:val="bottom"/>
          </w:tcPr>
          <w:p>
            <w:pPr>
              <w:spacing w:after="0"/>
              <w:rPr>
                <w:sz w:val="21"/>
                <w:szCs w:val="21"/>
                <w:color w:val="auto"/>
              </w:rPr>
            </w:pPr>
          </w:p>
        </w:tc>
      </w:tr>
      <w:tr>
        <w:trPr>
          <w:trHeight w:val="372"/>
        </w:trPr>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5"/>
              </w:rPr>
              <w:t>Condensed Consolidated Balance Sheets</w:t>
            </w:r>
          </w:p>
        </w:tc>
        <w:tc>
          <w:tcPr>
            <w:tcW w:w="5740" w:type="dxa"/>
            <w:vAlign w:val="bottom"/>
            <w:gridSpan w:val="8"/>
          </w:tcPr>
          <w:p>
            <w:pPr>
              <w:spacing w:after="0"/>
              <w:rPr>
                <w:sz w:val="24"/>
                <w:szCs w:val="24"/>
                <w:color w:val="auto"/>
              </w:rPr>
            </w:pPr>
          </w:p>
        </w:tc>
        <w:tc>
          <w:tcPr>
            <w:tcW w:w="40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2</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5280" w:type="dxa"/>
            <w:vAlign w:val="bottom"/>
            <w:gridSpan w:val="7"/>
          </w:tcPr>
          <w:p>
            <w:pPr>
              <w:spacing w:after="0"/>
              <w:rPr>
                <w:sz w:val="21"/>
                <w:szCs w:val="21"/>
                <w:color w:val="auto"/>
              </w:rPr>
            </w:pPr>
          </w:p>
        </w:tc>
        <w:tc>
          <w:tcPr>
            <w:tcW w:w="400" w:type="dxa"/>
            <w:vAlign w:val="bottom"/>
            <w:gridSpan w:val="2"/>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4</w:t>
              </w:r>
            </w:hyperlink>
          </w:p>
        </w:tc>
        <w:tc>
          <w:tcPr>
            <w:tcW w:w="20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500" w:type="dxa"/>
            <w:vAlign w:val="bottom"/>
            <w:gridSpan w:val="3"/>
          </w:tcPr>
          <w:p>
            <w:pPr>
              <w:jc w:val="center"/>
              <w:ind w:left="310"/>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5</w:t>
              </w:r>
            </w:hyperlink>
          </w:p>
        </w:tc>
        <w:tc>
          <w:tcPr>
            <w:tcW w:w="20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Statement of Partners’ Capital</w:t>
            </w:r>
          </w:p>
        </w:tc>
        <w:tc>
          <w:tcPr>
            <w:tcW w:w="3860" w:type="dxa"/>
            <w:vAlign w:val="bottom"/>
            <w:gridSpan w:val="3"/>
          </w:tcPr>
          <w:p>
            <w:pPr>
              <w:spacing w:after="0"/>
              <w:rPr>
                <w:sz w:val="21"/>
                <w:szCs w:val="21"/>
                <w:color w:val="auto"/>
              </w:rPr>
            </w:pPr>
          </w:p>
        </w:tc>
        <w:tc>
          <w:tcPr>
            <w:tcW w:w="400" w:type="dxa"/>
            <w:vAlign w:val="bottom"/>
            <w:gridSpan w:val="2"/>
          </w:tcPr>
          <w:p>
            <w:pPr>
              <w:spacing w:after="0"/>
              <w:rPr>
                <w:sz w:val="21"/>
                <w:szCs w:val="21"/>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6</w:t>
              </w:r>
            </w:hyperlink>
          </w:p>
        </w:tc>
        <w:tc>
          <w:tcPr>
            <w:tcW w:w="200" w:type="dxa"/>
            <w:vAlign w:val="bottom"/>
          </w:tcPr>
          <w:p>
            <w:pPr>
              <w:spacing w:after="0"/>
              <w:rPr>
                <w:sz w:val="21"/>
                <w:szCs w:val="21"/>
                <w:color w:val="auto"/>
              </w:rPr>
            </w:pPr>
          </w:p>
        </w:tc>
      </w:tr>
      <w:tr>
        <w:trPr>
          <w:trHeight w:val="250"/>
        </w:trPr>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w w:val="95"/>
              </w:rPr>
              <w:t>Condensed Consolidated Statements of Cash Flows</w:t>
            </w:r>
          </w:p>
        </w:tc>
        <w:tc>
          <w:tcPr>
            <w:tcW w:w="4940" w:type="dxa"/>
            <w:vAlign w:val="bottom"/>
            <w:gridSpan w:val="4"/>
          </w:tcPr>
          <w:p>
            <w:pPr>
              <w:spacing w:after="0"/>
              <w:rPr>
                <w:sz w:val="21"/>
                <w:szCs w:val="21"/>
                <w:color w:val="auto"/>
              </w:rPr>
            </w:pPr>
          </w:p>
        </w:tc>
        <w:tc>
          <w:tcPr>
            <w:tcW w:w="400" w:type="dxa"/>
            <w:vAlign w:val="bottom"/>
            <w:gridSpan w:val="2"/>
          </w:tcPr>
          <w:p>
            <w:pPr>
              <w:spacing w:after="0"/>
              <w:rPr>
                <w:sz w:val="21"/>
                <w:szCs w:val="21"/>
                <w:color w:val="auto"/>
              </w:rPr>
            </w:pPr>
          </w:p>
        </w:tc>
        <w:tc>
          <w:tcPr>
            <w:tcW w:w="100" w:type="dxa"/>
            <w:vAlign w:val="bottom"/>
            <w:tcBorders>
              <w:top w:val="single" w:sz="8" w:color="0000FF"/>
            </w:tcBorders>
          </w:tcPr>
          <w:p>
            <w:pPr>
              <w:jc w:val="cente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7</w:t>
              </w:r>
            </w:hyperlink>
          </w:p>
        </w:tc>
        <w:tc>
          <w:tcPr>
            <w:tcW w:w="20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gridSpan w:val="16"/>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Financial Statements</w:t>
              </w:r>
            </w:hyperlink>
          </w:p>
        </w:tc>
        <w:tc>
          <w:tcPr>
            <w:tcW w:w="500" w:type="dxa"/>
            <w:vAlign w:val="bottom"/>
            <w:gridSpan w:val="3"/>
          </w:tcPr>
          <w:p>
            <w:pPr>
              <w:jc w:val="center"/>
              <w:ind w:left="310"/>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8</w:t>
              </w:r>
            </w:hyperlink>
          </w:p>
        </w:tc>
        <w:tc>
          <w:tcPr>
            <w:tcW w:w="200" w:type="dxa"/>
            <w:vAlign w:val="bottom"/>
          </w:tcPr>
          <w:p>
            <w:pPr>
              <w:spacing w:after="0"/>
              <w:rPr>
                <w:sz w:val="21"/>
                <w:szCs w:val="21"/>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2.</w:t>
            </w:r>
          </w:p>
        </w:tc>
        <w:tc>
          <w:tcPr>
            <w:tcW w:w="9100" w:type="dxa"/>
            <w:vAlign w:val="bottom"/>
            <w:gridSpan w:val="17"/>
          </w:tcPr>
          <w:p>
            <w:pPr>
              <w:spacing w:after="0"/>
              <w:rPr>
                <w:sz w:val="20"/>
                <w:szCs w:val="20"/>
                <w:color w:val="auto"/>
              </w:rPr>
            </w:pPr>
            <w:r>
              <w:rPr>
                <w:rFonts w:ascii="Arial" w:cs="Arial" w:eastAsia="Arial" w:hAnsi="Arial"/>
                <w:sz w:val="18"/>
                <w:szCs w:val="18"/>
                <w:color w:val="0000FF"/>
                <w:w w:val="98"/>
              </w:rPr>
              <w:t>MANAGEMENT’S DISCUSSION AND ANALYSIS OF FINANCIAL CONDITION AND RESULTS OF OPERATIONS</w:t>
            </w:r>
          </w:p>
        </w:tc>
        <w:tc>
          <w:tcPr>
            <w:tcW w:w="500" w:type="dxa"/>
            <w:vAlign w:val="bottom"/>
            <w:gridSpan w:val="3"/>
          </w:tcPr>
          <w:p>
            <w:pPr>
              <w:jc w:val="center"/>
              <w:ind w:left="23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14</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gridSpan w:val="8"/>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3.</w:t>
            </w:r>
          </w:p>
        </w:tc>
        <w:tc>
          <w:tcPr>
            <w:tcW w:w="6140" w:type="dxa"/>
            <w:vAlign w:val="bottom"/>
            <w:gridSpan w:val="15"/>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17</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540" w:type="dxa"/>
            <w:vAlign w:val="bottom"/>
            <w:gridSpan w:val="8"/>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4.</w:t>
            </w:r>
          </w:p>
        </w:tc>
        <w:tc>
          <w:tcPr>
            <w:tcW w:w="2600" w:type="dxa"/>
            <w:vAlign w:val="bottom"/>
            <w:gridSpan w:val="7"/>
          </w:tcPr>
          <w:p>
            <w:pPr>
              <w:spacing w:after="0"/>
              <w:rPr>
                <w:sz w:val="20"/>
                <w:szCs w:val="20"/>
                <w:color w:val="auto"/>
              </w:rPr>
            </w:pPr>
            <w:r>
              <w:rPr>
                <w:rFonts w:ascii="Arial" w:cs="Arial" w:eastAsia="Arial" w:hAnsi="Arial"/>
                <w:sz w:val="18"/>
                <w:szCs w:val="18"/>
                <w:color w:val="0000FF"/>
                <w:w w:val="93"/>
              </w:rPr>
              <w:t>CONTROLS AND PROCEDURES</w:t>
            </w:r>
          </w:p>
        </w:tc>
        <w:tc>
          <w:tcPr>
            <w:tcW w:w="3540" w:type="dxa"/>
            <w:vAlign w:val="bottom"/>
            <w:gridSpan w:val="8"/>
          </w:tcPr>
          <w:p>
            <w:pPr>
              <w:spacing w:after="0"/>
              <w:rPr>
                <w:sz w:val="24"/>
                <w:szCs w:val="24"/>
                <w:color w:val="auto"/>
              </w:rPr>
            </w:pPr>
          </w:p>
        </w:tc>
        <w:tc>
          <w:tcPr>
            <w:tcW w:w="2960" w:type="dxa"/>
            <w:vAlign w:val="bottom"/>
            <w:gridSpan w:val="2"/>
          </w:tcPr>
          <w:p>
            <w:pPr>
              <w:spacing w:after="0"/>
              <w:rPr>
                <w:sz w:val="24"/>
                <w:szCs w:val="24"/>
                <w:color w:val="auto"/>
              </w:rPr>
            </w:pP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Arial" w:cs="Arial" w:eastAsia="Arial" w:hAnsi="Arial"/>
                <w:sz w:val="18"/>
                <w:szCs w:val="18"/>
                <w:b w:val="1"/>
                <w:bCs w:val="1"/>
                <w:color w:val="0000FF"/>
              </w:rPr>
              <w:t>PART II - OTHER INFORMATION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1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ITEM 1A.</w:t>
            </w:r>
          </w:p>
        </w:tc>
        <w:tc>
          <w:tcPr>
            <w:tcW w:w="186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240" w:type="dxa"/>
            <w:vAlign w:val="bottom"/>
            <w:gridSpan w:val="11"/>
          </w:tcPr>
          <w:p>
            <w:pPr>
              <w:spacing w:after="0"/>
              <w:rPr>
                <w:sz w:val="24"/>
                <w:szCs w:val="24"/>
                <w:color w:val="auto"/>
              </w:rPr>
            </w:pP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17</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sz w:val="20"/>
                <w:szCs w:val="20"/>
                <w:color w:val="auto"/>
              </w:rPr>
            </w:pPr>
            <w:r>
              <w:rPr>
                <w:rFonts w:ascii="Arial" w:cs="Arial" w:eastAsia="Arial" w:hAnsi="Arial"/>
                <w:sz w:val="18"/>
                <w:szCs w:val="18"/>
                <w:color w:val="0000FF"/>
                <w:w w:val="97"/>
              </w:rPr>
              <w:t>EXHIBITS</w:t>
            </w:r>
          </w:p>
        </w:tc>
        <w:tc>
          <w:tcPr>
            <w:tcW w:w="420" w:type="dxa"/>
            <w:vAlign w:val="bottom"/>
          </w:tcPr>
          <w:p>
            <w:pPr>
              <w:spacing w:after="0"/>
              <w:rPr>
                <w:sz w:val="24"/>
                <w:szCs w:val="24"/>
                <w:color w:val="auto"/>
              </w:rPr>
            </w:pPr>
          </w:p>
        </w:tc>
        <w:tc>
          <w:tcPr>
            <w:tcW w:w="7860" w:type="dxa"/>
            <w:vAlign w:val="bottom"/>
            <w:gridSpan w:val="14"/>
          </w:tcPr>
          <w:p>
            <w:pPr>
              <w:spacing w:after="0"/>
              <w:rPr>
                <w:sz w:val="24"/>
                <w:szCs w:val="24"/>
                <w:color w:val="auto"/>
              </w:rPr>
            </w:pP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72"/>
        </w:trPr>
        <w:tc>
          <w:tcPr>
            <w:tcW w:w="1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0000FF"/>
                <w:w w:val="93"/>
              </w:rPr>
              <w:t>SIGNATURE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3"/>
          </w:tcPr>
          <w:p>
            <w:pPr>
              <w:jc w:val="center"/>
              <w:ind w:left="23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19</w:t>
              </w:r>
            </w:hyperlink>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80" w:top="796"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matters discussed in this report, excluding historical information, as well as some statements by Panhandle Eastern Pipe Line Company, LP and its subsidiaries (“Panhandle” or the “Company”) in periodic press releases and some oral statements of the Company’s officials during presentations about the Company, include forward-looking statements. These forward-looking statements are identified as any statement that does not relate strictly to historical or current facts. Statements using words such as “anticipate,” “believe,” “intend,” “project,” “plan,” “expect,” “continue,” “estimate,” “goal,” “forecast,” “may,” “will” or similar expressions help identify forward-looking statements. Although the Company believes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Company’s actual results may vary materially from those anticipated, projected,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“Part I — Item 1A. Risk Factors” in the Company's Report on Form 10-K for the year ended December 31, 2012 filed with the Securities and Exchange Commission on March 1, 2013.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certain acronyms and terms generally used in the energy industry and throughout this document:</w:t>
      </w:r>
    </w:p>
    <w:p>
      <w:pPr>
        <w:sectPr>
          <w:pgSz w:w="11900" w:h="16838" w:orient="portrait"/>
          <w:cols w:equalWidth="0" w:num="1">
            <w:col w:w="11420"/>
          </w:cols>
          <w:pgMar w:left="240" w:top="364"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per day</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Bcf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Billion cubic feet</w:t>
      </w:r>
    </w:p>
    <w:p>
      <w:pPr>
        <w:spacing w:after="0" w:line="196"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British thermal units</w:t>
      </w:r>
    </w:p>
    <w:p>
      <w:pPr>
        <w:spacing w:after="0" w:line="207"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Citrus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Citrus Corp.</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EPA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Environmental Protection Agency</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Equity, L.P.</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Partners, L.P., a subsidiary of ETE</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Securities Exchange Act of 1934</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Energy Regulatory Commission</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GAAP</w:t>
      </w:r>
    </w:p>
    <w:p>
      <w:pPr>
        <w:spacing w:after="0" w:line="20" w:lineRule="exact"/>
        <w:rPr>
          <w:sz w:val="20"/>
          <w:szCs w:val="20"/>
          <w:color w:val="auto"/>
        </w:rPr>
      </w:pPr>
      <w:r>
        <w:rPr>
          <w:sz w:val="20"/>
          <w:szCs w:val="20"/>
          <w:color w:val="auto"/>
        </w:rPr>
        <w:br w:type="column"/>
      </w:r>
    </w:p>
    <w:p>
      <w:pPr>
        <w:jc w:val="center"/>
        <w:ind w:right="2660"/>
        <w:spacing w:after="0"/>
        <w:rPr>
          <w:sz w:val="20"/>
          <w:szCs w:val="20"/>
          <w:color w:val="auto"/>
        </w:rPr>
      </w:pPr>
      <w:r>
        <w:rPr>
          <w:rFonts w:ascii="Arial" w:cs="Arial" w:eastAsia="Arial" w:hAnsi="Arial"/>
          <w:sz w:val="16"/>
          <w:szCs w:val="16"/>
          <w:color w:val="auto"/>
        </w:rPr>
        <w:t>Accounting principles generally accepted in the United States of America</w:t>
      </w:r>
    </w:p>
    <w:p>
      <w:pPr>
        <w:spacing w:after="0" w:line="207"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ETP Holdco Corporation</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 Rate</w:t>
      </w:r>
    </w:p>
    <w:p>
      <w:pPr>
        <w:spacing w:after="0" w:line="207"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LNG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Liquefied natural gas</w:t>
      </w:r>
    </w:p>
    <w:p>
      <w:pPr>
        <w:spacing w:after="0" w:line="207"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LNG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Trunkline LNG Holdings, LLC</w:t>
      </w:r>
    </w:p>
    <w:p>
      <w:pPr>
        <w:spacing w:after="0" w:line="196"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OPEB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postretirement employee benefit plans</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PCBs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Polychlorinated biphenyls</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PEPL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Panhandle Eastern Pipe Line Company, LP</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PEPL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PEPL Holdings, LLC</w:t>
      </w:r>
    </w:p>
    <w:p>
      <w:pPr>
        <w:spacing w:after="0" w:line="196"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ppb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parts per billion</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 Robin Pipeline Company, LLC</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200" w:lineRule="exact"/>
        <w:rPr>
          <w:sz w:val="20"/>
          <w:szCs w:val="20"/>
          <w:color w:val="auto"/>
        </w:rPr>
      </w:pPr>
    </w:p>
    <w:p>
      <w:pPr>
        <w:sectPr>
          <w:pgSz w:w="11900" w:h="16838" w:orient="portrait"/>
          <w:cols w:equalWidth="0" w:num="2">
            <w:col w:w="2740" w:space="720"/>
            <w:col w:w="7960"/>
          </w:cols>
          <w:pgMar w:left="240" w:top="364"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auto"/>
        </w:rPr>
        <w:t>Southern Union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Sunoco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TBtu</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Trunkline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Trunkline LNG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Southern Union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Sunoco,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Trillion British thermal units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Trunkline Gas Company, LLC</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Trunkline LNG Company, LLC</w:t>
      </w:r>
    </w:p>
    <w:p>
      <w:pPr>
        <w:spacing w:after="0" w:line="200" w:lineRule="exact"/>
        <w:rPr>
          <w:sz w:val="20"/>
          <w:szCs w:val="20"/>
          <w:color w:val="auto"/>
        </w:rPr>
      </w:pPr>
    </w:p>
    <w:p>
      <w:pPr>
        <w:sectPr>
          <w:pgSz w:w="11900" w:h="16838" w:orient="portrait"/>
          <w:cols w:equalWidth="0" w:num="2">
            <w:col w:w="2700" w:space="720"/>
            <w:col w:w="6759"/>
          </w:cols>
          <w:pgMar w:left="280" w:top="530" w:right="1440" w:bottom="1440" w:gutter="0" w:footer="0" w:header="0"/>
        </w:sectPr>
      </w:pP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179"/>
          </w:cols>
          <w:pgMar w:left="280" w:top="530"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Southern Union’s March 26, 2012 merger transaction with ETE (the “ETE Merger”) was accounted for by ETE using business combination accounting. Under this method, the purchase price paid by the acquirer is allocated to the assets acquired and liabilities assumed as of the acquisition date based on their fair value. By the application of “push-down” accounting, PEPL’s assets, liabilities and partners’ capital were accordingly adjusted to fair value on March 26, 2012. Determining the fair value of certain assets and liabilities assumed is judgmental in nature and often involves the use of significant estimates and assumptions.</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application of “push-down” accounting, the Company’s financial statements and certain footnote disclosures are presented in two distinct periods to indicate the application of two different bases of accounting. Periods prior to March 26, 2012 are identified herein as “Predecessor,” while periods subsequent to the ETE Merger are identified as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6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jc w:val="right"/>
              <w:ind w:right="4040"/>
              <w:spacing w:after="0"/>
              <w:rPr>
                <w:sz w:val="20"/>
                <w:szCs w:val="20"/>
                <w:color w:val="auto"/>
              </w:rPr>
            </w:pPr>
            <w:r>
              <w:rPr>
                <w:rFonts w:ascii="Arial" w:cs="Arial" w:eastAsia="Arial" w:hAnsi="Arial"/>
                <w:sz w:val="18"/>
                <w:szCs w:val="18"/>
                <w:b w:val="1"/>
                <w:bCs w:val="1"/>
                <w:color w:val="auto"/>
                <w:w w:val="91"/>
              </w:rPr>
              <w:t>ASSETS</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Accounts receivable from related companies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Exchanges receivable</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System natural gas and operating supplies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Other</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4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Plant in service</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w:t>
            </w: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rPr>
              <w:t>Construction work in progress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4,121</w:t>
            </w:r>
          </w:p>
        </w:tc>
      </w:tr>
      <w:tr>
        <w:trPr>
          <w:trHeight w:val="243"/>
        </w:trPr>
        <w:tc>
          <w:tcPr>
            <w:tcW w:w="3660" w:type="dxa"/>
            <w:vAlign w:val="bottom"/>
          </w:tcPr>
          <w:p>
            <w:pPr>
              <w:ind w:left="200"/>
              <w:spacing w:after="0"/>
              <w:rPr>
                <w:sz w:val="20"/>
                <w:szCs w:val="20"/>
                <w:color w:val="auto"/>
              </w:rPr>
            </w:pPr>
            <w:r>
              <w:rPr>
                <w:rFonts w:ascii="Arial" w:cs="Arial" w:eastAsia="Arial" w:hAnsi="Arial"/>
                <w:sz w:val="18"/>
                <w:szCs w:val="18"/>
                <w:color w:val="auto"/>
                <w:w w:val="99"/>
              </w:rPr>
              <w:t>Accumulated depreciation and amortization</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property, plant and equipment</w:t>
            </w:r>
          </w:p>
        </w:tc>
        <w:tc>
          <w:tcPr>
            <w:tcW w:w="4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4,064</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w:t>
            </w:r>
          </w:p>
        </w:tc>
      </w:tr>
      <w:tr>
        <w:trPr>
          <w:trHeight w:val="27"/>
        </w:trPr>
        <w:tc>
          <w:tcPr>
            <w:tcW w:w="36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NOTE RECEIVABLE FROM RELATED PARTY</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36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7,050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 to related companies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Exchanges payable</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taxes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8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COMMITMENTS AND CONTINGENCIES (Note 11)</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Partners’ capital</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4,050</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4,041</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7,050</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7" w:name="page8"/>
    <w:bookmarkEnd w:id="7"/>
    <w:p>
      <w:pPr>
        <w:jc w:val="center"/>
        <w:ind w:right="60"/>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7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26, 2012) to</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6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25,</w:t>
            </w:r>
          </w:p>
        </w:tc>
      </w:tr>
      <w:tr>
        <w:trPr>
          <w:trHeight w:val="234"/>
        </w:trPr>
        <w:tc>
          <w:tcPr>
            <w:tcW w:w="6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Transportation and storage of natural gas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LNG terminalling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maintenance and general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62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 affiliates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622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622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300" w:top="364" w:right="2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CONDENSED CONSOLIDATED STATEMENTS OF COMPREHENSIVE INCOME (LOSS)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1"/>
              </w:rPr>
              <w:t>Period from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22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7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26, 2012) to</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22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March 25,</w:t>
            </w:r>
          </w:p>
        </w:tc>
      </w:tr>
      <w:tr>
        <w:trPr>
          <w:trHeight w:val="234"/>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Reclassification of unrealized loss on interest rate hedges into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6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30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 OF PARTNERS’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Accumulated Other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Partners’ Capital</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2"/>
              </w:rPr>
              <w:t>Comprehensive Loss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w:t>
            </w:r>
          </w:p>
        </w:tc>
      </w:tr>
      <w:tr>
        <w:trPr>
          <w:trHeight w:val="243"/>
        </w:trPr>
        <w:tc>
          <w:tcPr>
            <w:tcW w:w="64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March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4,082</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7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26, 2012) to</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25,</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Reconciliation of net income to net cash provided by (used in)operating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Amortization of costs charged to interest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gain on curtailment of OPEB plans benefits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merger impact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flows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 note receivable -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Net increase (decrease) in income taxes payable - related parties</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provided by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Issuance costs of debt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of PEPL, a Delaware limited partnership, and its subsidiaries have been prepared pursuant to the rules and regulations of the SEC for quarterly reports on Form 10-Q. These statements do not include all of the information and annual note disclosures required by GAAP, and should be read in conjunction with the Company’s financial statements and notes thereto for the year ended December 31, 2012, which are included in the Company’s Form 10-K filed with the SEC. The accompanying unaudited interim condensed consolidated financial statements have been prepared in accordance with GAAP and reflect adjustments that are, in the opinion of management, necessary for a fair statement of results for the interim period. The year-end condensed balance sheet data was derived from audited financial statements, but does not include all disclosures required by GAAP. Due to the seasonal nature of the Company’s operations, the results of operations and cash flows for any interim period are not necessarily indicative of the results that may be expected for the full year.</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ORGANIZATION:</w:t>
      </w:r>
    </w:p>
    <w:p>
      <w:pPr>
        <w:spacing w:after="0" w:line="283"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Panhandle is primarily engaged in the interstate transportation and storage of natural gas and also provides LNG terminalling and regasification services and is subject to the rules and regulations of the FERC. The Company’s entities include the following:</w:t>
      </w:r>
    </w:p>
    <w:p>
      <w:pPr>
        <w:spacing w:after="0" w:line="170" w:lineRule="exact"/>
        <w:rPr>
          <w:rFonts w:ascii="Arial" w:cs="Arial" w:eastAsia="Arial" w:hAnsi="Arial"/>
          <w:sz w:val="18"/>
          <w:szCs w:val="18"/>
          <w:b w:val="1"/>
          <w:bCs w:val="1"/>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PEPL, an indirect wholly-owned subsidiary of Southern Union, which is an indirect wholly-owned subsidiary of ETE;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Trunkline, a direct wholly-owned subsidiary of PEPL;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Sea Robin, an indirect wholly-owned subsidiary of PEPL;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LNG Holdings, an indirect wholly-owned subsidiary of PEPL;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Trunkline LNG, a direct wholly-owned subsidiary of LNG Holdings;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Southwest Gas, a direct wholly-owned subsidiary of PEPL.</w:t>
      </w:r>
    </w:p>
    <w:p>
      <w:pPr>
        <w:spacing w:after="0" w:line="17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Company’s pipeline assets consist of interstate pipelines that transport natural gas from the Gulf of Mexico, South Texas and the panhandle regions of Texas and Oklahoma to major U.S. markets in the Midwest and Great Lakes region, as well as, owned underground storage capacity. The Company also owns and operates an LNG import terminal located on Louisiana’s Gulf Coast, as well as, an above ground LNG storage facility.</w:t>
      </w:r>
    </w:p>
    <w:p>
      <w:pPr>
        <w:spacing w:after="0" w:line="20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Southern Union Panhandle, LLC, an indirect wholly-owned subsidiary of Southern Union, serves as the general partner of PEPL and owns a 1% general partnership interest in PEPL. PEPL Holdings, an indirect wholly-owned subsidiary of Southern Union, owns a 99% limited partnership interest in PEPL.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3 for information related to the completion of the Holdco Transaction.</w:t>
      </w:r>
    </w:p>
    <w:p>
      <w:pPr>
        <w:spacing w:after="0" w:line="2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8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have been no changes in the Company’s accounting policies as disclosed in its Annual Report on Form 10-K for the year ended December 31, 2012.</w:t>
      </w:r>
    </w:p>
    <w:p>
      <w:pPr>
        <w:spacing w:after="0" w:line="220"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HOLDCO TRANSACTION:</w:t>
      </w:r>
    </w:p>
    <w:p>
      <w:pPr>
        <w:spacing w:after="0" w:line="283"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April 30, 2013, ETP acquired from ETE its interest in Holdco for 49.5 million of newly issued ETP common units and $1.40 billion in cash, less $68 million of estimated closing adjustments. Holdco is the entity formed by ETP and ETE in 2012 to own the equity interests in Southern Union and Sunoco. As a result of this transaction, ETP now owns 100% of Holdco.</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2" w:name="page13"/>
    <w:bookmarkEnd w:id="12"/>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83"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Accounts receivable from related companies reflected on the condensed consolidated balance sheets primarily related to services provided for Southern Union, ETE, ETP, and other affiliates. Accounts payable to related companies reflected on the condensed consolidated balance sheets primarily related to payroll funding and overhead allocation provided by ETE, ETP and other affiliates.</w:t>
      </w:r>
    </w:p>
    <w:p>
      <w:pPr>
        <w:spacing w:after="0" w:line="23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a demand note with Southern Union under a cash management program, the Company loans excess cash, net of repayments, to Southern Union. The Company is credited with interest on the note at a one month LIBOR rate. Given the uncertainties regarding the timing of the Company’s cash flows, including financings, capital expenditures and operating cash flows, the Company has reported the note receivable as a non-current asset. The Company has access to the funds via the demand note and expects repayment to ultimately occur to primarily fund capital expenditures or debt retirements.</w:t>
      </w:r>
    </w:p>
    <w:p>
      <w:pPr>
        <w:spacing w:after="0" w:line="24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a summary of related party transactions for the periods presented:</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5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Successor</w:t>
            </w:r>
          </w:p>
        </w:tc>
        <w:tc>
          <w:tcPr>
            <w:tcW w:w="3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5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12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4"/>
              </w:rPr>
              <w:t>(March 26, 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March 25,</w:t>
            </w:r>
          </w:p>
        </w:tc>
      </w:tr>
      <w:tr>
        <w:trPr>
          <w:trHeight w:val="234"/>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33"/>
              <w:spacing w:after="0"/>
              <w:rPr>
                <w:sz w:val="20"/>
                <w:szCs w:val="20"/>
                <w:color w:val="auto"/>
              </w:rPr>
            </w:pPr>
            <w:r>
              <w:rPr>
                <w:rFonts w:ascii="Arial" w:cs="Arial" w:eastAsia="Arial" w:hAnsi="Arial"/>
                <w:sz w:val="18"/>
                <w:szCs w:val="18"/>
                <w:b w:val="1"/>
                <w:bCs w:val="1"/>
                <w:color w:val="auto"/>
                <w:w w:val="89"/>
              </w:rPr>
              <w:t>2012</w:t>
            </w:r>
          </w:p>
        </w:tc>
        <w:tc>
          <w:tcPr>
            <w:tcW w:w="3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5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and storage of natural gas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right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Operation and maintenance and general</w:t>
            </w: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tcBorders>
              <w:right w:val="single" w:sz="8" w:color="auto"/>
            </w:tcBorders>
            <w:gridSpan w:val="2"/>
          </w:tcPr>
          <w:p>
            <w:pPr>
              <w:ind w:left="1160"/>
              <w:spacing w:after="0" w:line="269" w:lineRule="exact"/>
              <w:rPr>
                <w:sz w:val="20"/>
                <w:szCs w:val="20"/>
                <w:color w:val="auto"/>
              </w:rPr>
            </w:pPr>
            <w:r>
              <w:rPr>
                <w:rFonts w:ascii="Arial" w:cs="Arial" w:eastAsia="Arial" w:hAnsi="Arial"/>
                <w:sz w:val="31"/>
                <w:szCs w:val="31"/>
                <w:color w:val="auto"/>
                <w:vertAlign w:val="subscript"/>
              </w:rPr>
              <w:t>39</w:t>
            </w:r>
            <w:r>
              <w:rPr>
                <w:rFonts w:ascii="Arial" w:cs="Arial" w:eastAsia="Arial" w:hAnsi="Arial"/>
                <w:sz w:val="12"/>
                <w:szCs w:val="12"/>
                <w:color w:val="auto"/>
              </w:rPr>
              <w:t xml:space="preserve">  (1)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80" w:type="dxa"/>
            <w:vAlign w:val="bottom"/>
            <w:tcBorders>
              <w:right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1"/>
          <w:numId w:val="6"/>
        </w:numPr>
        <w:rPr>
          <w:rFonts w:ascii="Arial" w:cs="Arial" w:eastAsia="Arial" w:hAnsi="Arial"/>
          <w:sz w:val="25"/>
          <w:szCs w:val="25"/>
          <w:color w:val="auto"/>
          <w:vertAlign w:val="superscript"/>
        </w:rPr>
      </w:pPr>
      <w:r>
        <w:rPr>
          <w:rFonts w:ascii="Arial" w:cs="Arial" w:eastAsia="Arial" w:hAnsi="Arial"/>
          <w:sz w:val="18"/>
          <w:szCs w:val="18"/>
          <w:color w:val="auto"/>
        </w:rPr>
        <w:t>Primarily represents corporate charges for employee expenses related to the merger with ETE offset by expenses attributable to services provided by Panhandle on behalf of affiliated companies.</w:t>
      </w:r>
    </w:p>
    <w:p>
      <w:pPr>
        <w:spacing w:after="0" w:line="253"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REGULATION AND RATES:</w:t>
      </w:r>
    </w:p>
    <w:p>
      <w:pPr>
        <w:spacing w:after="0" w:line="283"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July 26, 2012, Trunkline filed an application with the FERC for approval to transfer approximately 770 miles of underutilized loop piping facilities by sale to an affiliate; such facilities are contemplated to be converted to crude oil transportation service. This sale is subject to FERC approval. Several parties have intervened, commented, or protested this filing and the Company is currently responding to the Commission’s requests for additional information on this application.</w:t>
      </w:r>
    </w:p>
    <w:p>
      <w:pPr>
        <w:spacing w:after="0" w:line="24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November 2011, the FERC commenced an audit of PEPL to evaluate its compliance with the Uniform System of Accounts as prescribed by the FERC, annual and quarterly financial reporting to the FERC, reservation charge crediting policy and record retention. The audit is related to the period from January 1, 2010 through December 31, 2011 and is pending the issuance of a draft audit report.</w:t>
      </w:r>
    </w:p>
    <w:p>
      <w:pPr>
        <w:spacing w:after="0" w:line="231"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w:t>
      </w:r>
    </w:p>
    <w:p>
      <w:pPr>
        <w:spacing w:after="0" w:line="28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2013 and December 31, 2012, accumulated other comprehensive loss consists of net actuarial loss and prior service costs related to our OPEB plans.</w:t>
      </w:r>
    </w:p>
    <w:p>
      <w:pPr>
        <w:spacing w:after="0" w:line="220"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283"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$250 million principal amount of senior notes which mature within the next twelve months. The Company currently expects to refinance all or a portion of the debt upon maturity or, alternatively, to retire all or a portion of the debt with proceeds from repayment of the note receivable from Southern Union, which funds are available to the Company on a demand basis.</w:t>
      </w:r>
    </w:p>
    <w:p>
      <w:pPr>
        <w:spacing w:after="0" w:line="23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Based on the estimated borrowing rates currently available to the Company and its subsidiaries for loans with similar terms and average maturities, the aggregate fair value of the Company’s consolidated debt obligations at March 31, 2013 and December 31, 2012 was $1.81 billion and $1.81 billion, respectively. As of March 31, 2013 and December 31, 2012, the aggregate carrying amount of the Company’s consolidated debt obligations was $1.75 billion and $1.76 billion,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7"/>
          <w:szCs w:val="17"/>
          <w:color w:val="auto"/>
        </w:rPr>
        <w:t>The fair value of the Company’s consolidated debt obligations is a Level 2 valuation based on the observable inputs used for similar liabilities.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Term Loans. </w:t>
      </w:r>
      <w:r>
        <w:rPr>
          <w:rFonts w:ascii="Arial" w:cs="Arial" w:eastAsia="Arial" w:hAnsi="Arial"/>
          <w:sz w:val="18"/>
          <w:szCs w:val="18"/>
          <w:color w:val="auto"/>
        </w:rPr>
        <w:t>The effective interest rate for the LNG Holdings term loan due February 2015 was 1.83% at March 31, 2013.</w:t>
      </w:r>
    </w:p>
    <w:p>
      <w:pPr>
        <w:spacing w:after="0" w:line="2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Company's notes are subject to certain requirements, such as the maintenance of a fixed charge coverage ratio and a leverage ratio, which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maintained, restrict the ability of the Company to make certain payments and impose limitations on the ability of the Company to subject its property to liens. Other covenants impose limitations on restricted payments, including dividends and loans to affiliates, and additional indebtedness. As of March 31, 2013, the Company is in compliance with these covenants.</w:t>
      </w:r>
    </w:p>
    <w:p>
      <w:pPr>
        <w:spacing w:after="0" w:line="23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2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Components of Net Periodic Benefit Cost</w:t>
      </w:r>
    </w:p>
    <w:p>
      <w:pPr>
        <w:spacing w:after="0" w:line="28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components of net periodic benefit cost of the Company’s OPEB plans for the periods presented:</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26, 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25,</w:t>
            </w:r>
          </w:p>
        </w:tc>
      </w:t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Prior service credit amortization</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06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Curtailment recognition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328"/>
        <w:spacing w:after="0" w:line="262" w:lineRule="auto"/>
        <w:tabs>
          <w:tab w:leader="none" w:pos="660" w:val="left"/>
        </w:tabs>
        <w:numPr>
          <w:ilvl w:val="1"/>
          <w:numId w:val="9"/>
        </w:numPr>
        <w:rPr>
          <w:rFonts w:ascii="Arial" w:cs="Arial" w:eastAsia="Arial" w:hAnsi="Arial"/>
          <w:sz w:val="22"/>
          <w:szCs w:val="22"/>
          <w:color w:val="auto"/>
          <w:vertAlign w:val="superscript"/>
        </w:rPr>
      </w:pPr>
      <w:r>
        <w:rPr>
          <w:rFonts w:ascii="Arial" w:cs="Arial" w:eastAsia="Arial" w:hAnsi="Arial"/>
          <w:sz w:val="16"/>
          <w:szCs w:val="16"/>
          <w:color w:val="auto"/>
        </w:rPr>
        <w:t>Subsequent to the ETE Merger, the Company amended certain of its OPEB plans to prospectively restrict participation in the plans for certain active employees. The plan amendments resulted in the plans becoming currently over-funded and, accordingly, the Company recorded a gross pre-tax curtailment gain of $70 million, $59 million of which is subject to refund to customers; thus, the net curtailment gain recognition was $11 million.</w:t>
      </w:r>
    </w:p>
    <w:p>
      <w:pPr>
        <w:spacing w:after="0" w:line="236"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83"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to certain risks in its ongoing business operations. The primary risk managed by using derivative instruments is interest rate risk. Interest rate swaps and treasury rate locks are the principal derivative instruments used by the Company to manage interest rate risk associated with its long-term borrowings, although other interest rate derivative contracts may also be used from time to time. The Company recognizes all derivative assets and liabilities at fair value on the condensed consolidated balance sheets.</w:t>
      </w:r>
    </w:p>
    <w:p>
      <w:pPr>
        <w:spacing w:after="0" w:line="24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Interest Rate Contracts. </w:t>
      </w:r>
      <w:r>
        <w:rPr>
          <w:rFonts w:ascii="Arial" w:cs="Arial" w:eastAsia="Arial" w:hAnsi="Arial"/>
          <w:sz w:val="18"/>
          <w:szCs w:val="18"/>
          <w:color w:val="auto"/>
        </w:rPr>
        <w:t>The Company may enter into interest rate swaps to manage its exposure to changes in interest payments on long-term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attributable to movements in market interest rates, and may enter into treasury rate locks to manage its exposure to changes in future interest payments attributable to changes in treasury rates prior to the issuance of new long-term debt instruments.</w:t>
      </w:r>
    </w:p>
    <w:p>
      <w:pPr>
        <w:spacing w:after="0" w:line="235"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Treasury Rate Locks. </w:t>
      </w:r>
      <w:r>
        <w:rPr>
          <w:rFonts w:ascii="Arial" w:cs="Arial" w:eastAsia="Arial" w:hAnsi="Arial"/>
          <w:sz w:val="17"/>
          <w:szCs w:val="17"/>
          <w:color w:val="auto"/>
        </w:rPr>
        <w:t>As of March 31, 2013, the Company had no outstanding treasury rate locks. However, certain of its treasury rate locks that settled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prior periods were associated with interest payments on outstanding long-term debt. During the predecessor periods, these treasury rate locks were accounted for as cash flow hedges, with the effective portion of their settled value recorded in accumulated other comprehensive income and reclassified into interest expense in the same periods during which the related interest payments on long-term debt impact earnings.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4" w:name="page15"/>
    <w:bookmarkEnd w:id="14"/>
    <w:p>
      <w:pPr>
        <w:ind w:left="332"/>
        <w:spacing w:after="0"/>
        <w:rPr>
          <w:sz w:val="20"/>
          <w:szCs w:val="20"/>
          <w:color w:val="auto"/>
        </w:rPr>
      </w:pPr>
      <w:r>
        <w:rPr>
          <w:rFonts w:ascii="Arial" w:cs="Arial" w:eastAsia="Arial" w:hAnsi="Arial"/>
          <w:sz w:val="18"/>
          <w:szCs w:val="18"/>
          <w:color w:val="auto"/>
        </w:rPr>
        <w:t>The Company had no derivative instruments at March 31, 2013 and December 31, 2012.</w:t>
      </w:r>
    </w:p>
    <w:p>
      <w:pPr>
        <w:spacing w:after="0" w:line="279" w:lineRule="exact"/>
        <w:rPr>
          <w:sz w:val="20"/>
          <w:szCs w:val="20"/>
          <w:color w:val="auto"/>
        </w:rPr>
      </w:pPr>
    </w:p>
    <w:p>
      <w:pPr>
        <w:ind w:left="332"/>
        <w:spacing w:after="0"/>
        <w:rPr>
          <w:sz w:val="20"/>
          <w:szCs w:val="20"/>
          <w:color w:val="auto"/>
        </w:rPr>
      </w:pPr>
      <w:r>
        <w:rPr>
          <w:rFonts w:ascii="Arial" w:cs="Arial" w:eastAsia="Arial" w:hAnsi="Arial"/>
          <w:sz w:val="17"/>
          <w:szCs w:val="17"/>
          <w:color w:val="auto"/>
        </w:rPr>
        <w:t>The following tables summarize the location and amount (excluding income tax effects) of derivative instrument gains and losses reported in the</w:t>
      </w:r>
    </w:p>
    <w:p>
      <w:pPr>
        <w:spacing w:after="0" w:line="3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Company’s consolidated financial statements for the periods presented:</w:t>
      </w:r>
    </w:p>
    <w:p>
      <w:pPr>
        <w:spacing w:after="0" w:line="360" w:lineRule="exact"/>
        <w:rPr>
          <w:sz w:val="20"/>
          <w:szCs w:val="20"/>
          <w:color w:val="auto"/>
        </w:rPr>
      </w:pPr>
    </w:p>
    <w:tbl>
      <w:tblPr>
        <w:tblLayout w:type="fixed"/>
        <w:tblInd w:w="332"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Predecessor</w:t>
            </w:r>
          </w:p>
        </w:tc>
      </w:tr>
      <w:tr>
        <w:trPr>
          <w:trHeight w:val="225"/>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26, 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3"/>
              </w:rPr>
              <w:t>to</w:t>
            </w:r>
          </w:p>
        </w:tc>
        <w:tc>
          <w:tcPr>
            <w:tcW w:w="1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r>
      <w:tr>
        <w:trPr>
          <w:trHeight w:val="216"/>
        </w:trPr>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25,</w:t>
            </w:r>
          </w:p>
        </w:tc>
      </w:tr>
      <w:tr>
        <w:trPr>
          <w:trHeight w:val="234"/>
        </w:trPr>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420"/>
              <w:spacing w:after="0"/>
              <w:rPr>
                <w:sz w:val="20"/>
                <w:szCs w:val="20"/>
                <w:color w:val="auto"/>
              </w:rPr>
            </w:pPr>
            <w:r>
              <w:rPr>
                <w:rFonts w:ascii="Arial" w:cs="Arial" w:eastAsia="Arial" w:hAnsi="Arial"/>
                <w:sz w:val="18"/>
                <w:szCs w:val="18"/>
                <w:color w:val="auto"/>
                <w:w w:val="95"/>
              </w:rPr>
              <w:t>Reclassification of unrealized loss from accumulated other comprehensive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060" w:type="dxa"/>
            <w:vAlign w:val="bottom"/>
          </w:tcPr>
          <w:p>
            <w:pPr>
              <w:ind w:left="420"/>
              <w:spacing w:after="0"/>
              <w:rPr>
                <w:sz w:val="20"/>
                <w:szCs w:val="20"/>
                <w:color w:val="auto"/>
              </w:rPr>
            </w:pPr>
            <w:r>
              <w:rPr>
                <w:rFonts w:ascii="Arial" w:cs="Arial" w:eastAsia="Arial" w:hAnsi="Arial"/>
                <w:sz w:val="18"/>
                <w:szCs w:val="18"/>
                <w:color w:val="auto"/>
              </w:rPr>
              <w:t>income – increase of 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auto"/>
            </w:tcBorders>
            <w:gridSpan w:val="2"/>
          </w:tcPr>
          <w:p>
            <w:pPr>
              <w:ind w:left="1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bl>
    <w:p>
      <w:pPr>
        <w:spacing w:after="0" w:line="252" w:lineRule="exact"/>
        <w:rPr>
          <w:sz w:val="20"/>
          <w:szCs w:val="20"/>
          <w:color w:val="auto"/>
        </w:rPr>
      </w:pPr>
    </w:p>
    <w:p>
      <w:pPr>
        <w:ind w:left="332" w:hanging="332"/>
        <w:spacing w:after="0"/>
        <w:tabs>
          <w:tab w:leader="none" w:pos="3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w:t>
      </w:r>
    </w:p>
    <w:p>
      <w:pPr>
        <w:spacing w:after="0" w:line="283" w:lineRule="exact"/>
        <w:rPr>
          <w:rFonts w:ascii="Arial" w:cs="Arial" w:eastAsia="Arial" w:hAnsi="Arial"/>
          <w:sz w:val="18"/>
          <w:szCs w:val="18"/>
          <w:b w:val="1"/>
          <w:bCs w:val="1"/>
          <w:color w:val="auto"/>
        </w:rPr>
      </w:pPr>
    </w:p>
    <w:p>
      <w:pPr>
        <w:jc w:val="both"/>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did not have any assets or liabilities that are measured at fair value on a recurring basis at March 31, 2013. The Company did not have any Level 3 instruments measured at fair value using significant unobservable inputs at March 31, 2013 or December 31, 2012 and there were no transfers between hierarchy levels.</w:t>
      </w:r>
    </w:p>
    <w:p>
      <w:pPr>
        <w:spacing w:after="0" w:line="235" w:lineRule="exact"/>
        <w:rPr>
          <w:rFonts w:ascii="Arial" w:cs="Arial" w:eastAsia="Arial" w:hAnsi="Arial"/>
          <w:sz w:val="18"/>
          <w:szCs w:val="18"/>
          <w:b w:val="1"/>
          <w:bCs w:val="1"/>
          <w:color w:val="auto"/>
        </w:rPr>
      </w:pP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approximate fair value of the Company’s cash and cash equivalents, accounts receivable and accounts payable is equal to book value, due to their short-term nature.</w:t>
      </w:r>
    </w:p>
    <w:p>
      <w:pPr>
        <w:spacing w:after="0" w:line="220" w:lineRule="exact"/>
        <w:rPr>
          <w:rFonts w:ascii="Arial" w:cs="Arial" w:eastAsia="Arial" w:hAnsi="Arial"/>
          <w:sz w:val="18"/>
          <w:szCs w:val="18"/>
          <w:b w:val="1"/>
          <w:bCs w:val="1"/>
          <w:color w:val="auto"/>
        </w:rPr>
      </w:pPr>
    </w:p>
    <w:p>
      <w:pPr>
        <w:ind w:left="332" w:right="7580" w:hanging="332"/>
        <w:spacing w:after="0" w:line="566" w:lineRule="auto"/>
        <w:tabs>
          <w:tab w:leader="none" w:pos="33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b w:val="1"/>
          <w:bCs w:val="1"/>
          <w:color w:val="auto"/>
        </w:rPr>
        <w:t>Litigation and Other Claims</w:t>
      </w: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legal, tax and regulatory proceedings before various courts, regulatory commissions and governmental agencies regarding matters arising in the ordinary course of business.</w:t>
      </w:r>
    </w:p>
    <w:p>
      <w:pPr>
        <w:spacing w:after="0" w:line="220" w:lineRule="exact"/>
        <w:rPr>
          <w:rFonts w:ascii="Arial" w:cs="Arial" w:eastAsia="Arial" w:hAnsi="Arial"/>
          <w:sz w:val="18"/>
          <w:szCs w:val="18"/>
          <w:b w:val="1"/>
          <w:bCs w:val="1"/>
          <w:color w:val="auto"/>
        </w:rPr>
      </w:pPr>
    </w:p>
    <w:p>
      <w:pPr>
        <w:jc w:val="both"/>
        <w:ind w:left="332"/>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Will Price. </w:t>
      </w:r>
      <w:r>
        <w:rPr>
          <w:rFonts w:ascii="Arial" w:cs="Arial" w:eastAsia="Arial" w:hAnsi="Arial"/>
          <w:sz w:val="17"/>
          <w:szCs w:val="17"/>
          <w:color w:val="auto"/>
        </w:rPr>
        <w:t>Will Price, an individual, filed actions in the U.S. District Court for the District of Kansas for damages against a number of companies,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Company, alleging mis-measurement of natural gas volumes and Btu content, resulting in lower royalties to mineral interest owners. On September 19, 2009, the Court denied plaintiffs’ request for class certification. Plaintiffs have filed a motion for reconsideration, which the Court denied on March 31, 2010. The Company believes that its measurement practices conformed to the terms of its FERC natural gas tariffs, which were filed with and approved by the FERC. As a result, the Company believes that it has meritorious defenses to the Will Price lawsuit (including FERC-related affirmative defenses, such as the filed rate/tariff doctrine, the primary/exclusive jurisdiction of the FERC, and the defense that the Company complied with the terms of its tariffs). In the event that Plaintiffs refuse Panhandle’s pending request for voluntary dismissal, Panhandle will continue to vigorously defend the case. The Company believes it has no liability associated with this proceeding.</w:t>
      </w:r>
    </w:p>
    <w:p>
      <w:pPr>
        <w:spacing w:after="0" w:line="226"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Liabilities for Litigation and Other Claims</w:t>
      </w:r>
    </w:p>
    <w:p>
      <w:pPr>
        <w:spacing w:after="0" w:line="283" w:lineRule="exact"/>
        <w:rPr>
          <w:rFonts w:ascii="Arial" w:cs="Arial" w:eastAsia="Arial" w:hAnsi="Arial"/>
          <w:sz w:val="18"/>
          <w:szCs w:val="18"/>
          <w:b w:val="1"/>
          <w:bCs w:val="1"/>
          <w:color w:val="auto"/>
        </w:rPr>
      </w:pPr>
    </w:p>
    <w:p>
      <w:pPr>
        <w:jc w:val="both"/>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records accrued liabilities for litigation and other claim costs when management believes a loss is probable and reasonably estimable. When management believes there is at least a reasonable possibility that a material loss or an additional material loss may have been incurred, the Company discloses (i) an estimate of the possible loss or range of loss in excess of the amount accrued; or (ii) a statement that such an estimate cannot be made. As of March 31, 2013 and December 31, 2012, the Company recorded litigation and other claim-related accrued liabilities of $6 million and $6 million, respectively. The Company does not have any material litigation or other claim contingency matters assessed as probable or reasonably possible that would require disclosure in the financial statements.</w:t>
      </w:r>
    </w:p>
    <w:p>
      <w:pPr>
        <w:spacing w:after="0" w:line="24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Environmental Matters</w:t>
      </w:r>
    </w:p>
    <w:p>
      <w:pPr>
        <w:spacing w:after="0" w:line="283" w:lineRule="exact"/>
        <w:rPr>
          <w:rFonts w:ascii="Arial" w:cs="Arial" w:eastAsia="Arial" w:hAnsi="Arial"/>
          <w:sz w:val="18"/>
          <w:szCs w:val="18"/>
          <w:b w:val="1"/>
          <w:bCs w:val="1"/>
          <w:color w:val="auto"/>
        </w:rPr>
      </w:pPr>
    </w:p>
    <w:p>
      <w:pPr>
        <w:jc w:val="both"/>
        <w:ind w:left="3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federal, state and local laws, rules and regulations regarding water quality, hazardous and solid waste management, air quality control and other environmental matters. These laws, rules and regulations require the Company to conduct its operations in a specified manner and to obtain and comply with a wide variety of environmental registrations, licenses, permits, inspections and other approvals. Failure to comply with environmental laws, rules and</w:t>
      </w:r>
    </w:p>
    <w:p>
      <w:pPr>
        <w:sectPr>
          <w:pgSz w:w="11900" w:h="16838" w:orient="portrait"/>
          <w:cols w:equalWidth="0" w:num="1">
            <w:col w:w="11412"/>
          </w:cols>
          <w:pgMar w:left="248" w:top="530" w:right="239" w:bottom="1440" w:gutter="0" w:footer="0" w:header="0"/>
        </w:sectPr>
      </w:pPr>
    </w:p>
    <w:p>
      <w:pPr>
        <w:spacing w:after="0" w:line="322"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12"/>
          </w:cols>
          <w:pgMar w:left="248" w:top="530" w:right="239" w:bottom="1440" w:gutter="0" w:footer="0" w:header="0"/>
          <w:type w:val="continuous"/>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regulations may expose the Company to significant fines, penalties and/or interruptions in operations. The Company’s environmental policies and procedures are designed to achieve compliance with such applicable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responsible for environmental remediation at certain sites on its natural gas transmission systems for contamination resulting from the past use of lubricants containing PCBs in compressed air systems; the past use of paints containing PCBs; and the prior use of wastewater collection facilities and other on-site disposal areas. The Company has implemented a program to remediate such contamination. The primary remaining remediation activity on the Panhandle systems is associated with past use of paints containing PCBs or PCB impacts to equipment surfaces and to a building at one location. The PCB assessments are ongoing and the related estimated remediation costs are subject to further change.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remediation typically involves the management of contaminated soils and may involve remediation of groundwater. Activities vary with site conditions and locations, the extent and nature of the contamination, remedial requirements, complexity and sharing of responsibility. The ultimate liability and total costs associated with these sites will depend upon many factors. If remediation activities involve statutory joint and several liability provisions, strict liability, or cost recovery or contribution actions, the Company could potentially be held responsible for contamination caused by other parties. In some instances, the Company may share liability associated with contamination with other potentially responsible parties. The Company may also benefit from contractual indemnities that cover some or all of the cleanup costs. These sites are generally managed in the normal course of business or operations.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environmental remediation activities are undertaken in cooperation with and under the oversight of appropriate regulatory agencies, enabling the Company under certain circumstances to take advantage of various voluntary cleanup programs in order to perform the remediation in the most effective and efficient manner.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reflects the amount of accrued liabilities recorded on the condensed consolidated balance sheets at the dates indicated to cover environmental remediation actions where management believes a loss is probable and reasonably estimable. The Company does not have any material environmental remediation matters assessed as reasonably possible.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r>
      <w:tr>
        <w:trPr>
          <w:trHeight w:val="27"/>
        </w:trPr>
        <w:tc>
          <w:tcPr>
            <w:tcW w:w="78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2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8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environmental liabilities</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78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 and Contingencies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Controlled Group Pension Liabilities. </w:t>
      </w:r>
      <w:r>
        <w:rPr>
          <w:rFonts w:ascii="Arial" w:cs="Arial" w:eastAsia="Arial" w:hAnsi="Arial"/>
          <w:sz w:val="17"/>
          <w:szCs w:val="17"/>
          <w:color w:val="auto"/>
        </w:rPr>
        <w:t>Southern Union (including certain of its divisions) sponsors a number of defined benefit pension plans for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Under applicable pension and tax laws, upon being acquired by Southern Union, the Company became a member of Southern Union’s “controlled group” with respect to those plans and, along with Southern Union and any other members of that group, is jointly and severally liable for any failure by Southern Union (along with any other persons that may be or become a sponsor of any such plan) to fund any of these pension plans or to pay any unfunded liabilities that these plans may have if they are ever terminated. In addition, if any of the obligations of any of these pension plans is not paid when due, a lien in favor of that plan or the Pension Benefit Guaranty Corporation may be created against the assets of each member of Southern Union’s controlled group, including the Company and each of its subsidiaries. Based on the latest actuarial information available, the aggregate amount of the projected benefit obligations of these pension plans was approximately $243 million and the estimated fair value of all of the assets of these plans was approximately $155 million.</w:t>
      </w:r>
    </w:p>
    <w:p>
      <w:pPr>
        <w:spacing w:after="0" w:line="31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580" w:top="530" w:right="2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b w:val="1"/>
          <w:bCs w:val="1"/>
          <w:color w:val="auto"/>
        </w:rPr>
        <w:t xml:space="preserve">Unclaimed Property Audits. </w:t>
      </w:r>
      <w:r>
        <w:rPr>
          <w:rFonts w:ascii="Arial" w:cs="Arial" w:eastAsia="Arial" w:hAnsi="Arial"/>
          <w:sz w:val="18"/>
          <w:szCs w:val="18"/>
          <w:color w:val="auto"/>
        </w:rPr>
        <w:t>The Company is subject to the laws and regulations of states and other jurisdictions concerning the identification,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and escheatment (the transfer of property to the state) of unclaimed or abandoned funds, and is subject to audit and examination for compliance with these requirements. The Company is currently being examined by a third party auditor on behalf of nine states for compliance with unclaimed property laws.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other potential regulatory matters applicable to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Regulatory Compliance Commitments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Air Quality Control. </w:t>
      </w:r>
      <w:r>
        <w:rPr>
          <w:rFonts w:ascii="Arial" w:cs="Arial" w:eastAsia="Arial" w:hAnsi="Arial"/>
          <w:sz w:val="18"/>
          <w:szCs w:val="18"/>
          <w:color w:val="auto"/>
        </w:rPr>
        <w:t>On April 17, 2012 the EPA issued the Oil and Natural Gas Sector New Source Performance Standards and National Emission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for Hazardous Air Pollutants (“HAP”). The standards revise the new source performance standards for volatile organic compounds from leaking components at onshore natural gas processing plants and new source performance standards for sulfur dioxide emissions from natural gas processing plants. The EPA also established standards for certain oil and gas operations not covered by the existing standards. In addition to the operations covered by the existing standards, the newly established standards regulate volatile organic compound emissions from gas wells, centrifugal compressors, reciprocating compressors, pneumatic controllers and storage vessels. The Company is reviewing the new standards to determine the impact on its operations.</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2010, the EPA finalized a rule that requires reductions in a number of pollutants, including formaldehyde and carbon monoxide, for certain engines regardless of size at Area Sources (sources that emit less than 10 tons per year of any one HAP or 25 tons per year of all HAPs) and engines less than 500 horsepower at Major Sources (sources that emit 10 tons per year or more of any one HAP or 25 tons per year of all HAPs). Compliance is required by October 2013. It is anticipated that the limits adopted in this rule will be used in a future EPA rule that is scheduled to be finalized in 2013, with compliance required in 2016. This future rule is expected to require reductions in formaldehyde and carbon monoxide emissions from engines greater than 500 horsepower at Major Sources.</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Nitrogen oxides are the primary air pollutant from natural gas-fired engines. Nitrogen oxide emissions may form ozone in the atmosphere. In 2008, the EPA lowered the ozone standard to 75 ppb with compliance anticipated in 2013 to 2015. In January 2010, the EPA proposed lowering the standard to 60 to 70 ppb in lieu of the 75 ppb standard, with compliance required in 2014 or later. In September 2011, the EPA decided to rescind the proposed lower ozone standard and begin the process to implement the 75 ppb ozone standard established in 2008.</w:t>
      </w:r>
    </w:p>
    <w:p>
      <w:pPr>
        <w:spacing w:after="0" w:line="2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2010, the EPA finalized a 100 ppb one-hour nitrogen dioxide standard. The rule requires the installation of new nitrogen dioxide monitors in urban communities and roadways by 2013. This new monitoring may result in additional nitrogen dioxide non-attainment areas. In addition, ambient air quality modeling may be required to demonstrate compliance with the new standard.</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reviewing the potential impacts of the August 2010 Area Source National Emissions Standards for Hazardous Air Pollutants rule, implementation of the 2008 ozone standard and the new nitrogen dioxide standard on its operations and the potential costs associated with the installation of emission control systems on its existing engines. The ultimate costs associated with these activities cannot be estimated with any certainty at this time, but the Company believes, based on the current understanding of the current and proposed rules, such costs will not have a material adverse effect on its consolidated financial position, results of operations or cash flows.</w:t>
      </w:r>
    </w:p>
    <w:p>
      <w:pPr>
        <w:spacing w:after="0" w:line="3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580" w:top="52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Item 2 has been prepared pursuant to the reduced disclosure format permitted by General Instruction H to Form 10-Q. Accordingly, this Item 2 includes only management’s narrative analysis of the results of operations and certain supplemental information.</w:t>
      </w:r>
    </w:p>
    <w:p>
      <w:pPr>
        <w:spacing w:after="0" w:line="197" w:lineRule="exact"/>
        <w:rPr>
          <w:sz w:val="20"/>
          <w:szCs w:val="20"/>
          <w:color w:val="auto"/>
        </w:rPr>
      </w:pPr>
    </w:p>
    <w:p>
      <w:pPr>
        <w:ind w:right="1200"/>
        <w:spacing w:after="0" w:line="465" w:lineRule="auto"/>
        <w:rPr>
          <w:sz w:val="20"/>
          <w:szCs w:val="20"/>
          <w:color w:val="auto"/>
        </w:rPr>
      </w:pPr>
      <w:r>
        <w:rPr>
          <w:rFonts w:ascii="Arial" w:cs="Arial" w:eastAsia="Arial" w:hAnsi="Arial"/>
          <w:sz w:val="18"/>
          <w:szCs w:val="18"/>
          <w:color w:val="auto"/>
        </w:rPr>
        <w:t xml:space="preserve">References to “we”, “us”, “our”, the “Company” and “Panhandle” shall mean Panhandle Eastern Pipe Line Company, LP and its subsidiaries. </w:t>
      </w:r>
      <w:r>
        <w:rPr>
          <w:rFonts w:ascii="Arial" w:cs="Arial" w:eastAsia="Arial" w:hAnsi="Arial"/>
          <w:sz w:val="18"/>
          <w:szCs w:val="18"/>
          <w:b w:val="1"/>
          <w:bCs w:val="1"/>
          <w:color w:val="auto"/>
        </w:rPr>
        <w:t>Overview</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purpose is to provide interstate transportation and storage of natural gas in a safe, efficient and dependable manner. The Company operates approximately 10,000 miles of interstate pipelines that transport up to 6.4 Bcf/d of natural gas. Demand for natural gas transmission services on the Company’s pipeline system is seasonal, with the highest throughput and a higher portion of annual total operating revenues occurring in the traditional winter heating season, which occurs during the first and fourth calendar quarters.</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business is conducted through both short- and long-term contracts with customers. Short-term and long-term contracts are affected by changes in market conditions and competition with other pipelines, changing supply sources and volatility in natural gas prices and basis differentials. Since the majority of the Company’s revenues are related to firm capacity reservation charges, which customers pay whether they utilize their contracted capacity or not, volumes transported do not have as significant an impact on revenues over the short-term. However, longer-term demand for capacity may be affected by changes in the customers’ actual and anticipated utilization of their contracted capacity and other factors.</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regulated transportation and storage businesses can file (or be required to file) for changes in their rates, which are subject to approval by the FERC. Although a significant portion of the Company’s contracts are discounted or negotiated rate contracts, changes in rates and other tariff provisions resulting from regulatory proceedings have the potential to impact negatively the Company’s results of operations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Transaction</w:t>
      </w:r>
    </w:p>
    <w:p>
      <w:pPr>
        <w:spacing w:after="0" w:line="27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On April 30, 2013, ETP acquired from ETE its interest in Holdco for 49.5 million of newly issued ETP common units and $1.40 billion in cash, less $68 million of estimated closing adjustments. Holdco is the entity formed by ETP and ETE in 2012 to own the equity interests in Southern Union and Sunoco. As a result of this transaction, ETP now owns 100% of Holdco.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ETE Merger, which was completed on March 26, 2012, was accounted for by ETE using business combination accounting. The Company allocated the purchase price paid by ETE to its assets, liabilities and partners’ capital as of the acquisition date based on preliminary estimates. Accordingly, the successor financial statements reflect a new basis of accounting and predecessor and successor period financial results (separated by a heavy black line) are presented, but are not comparable.</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significant impacts of the new basis of accounting during the successor periods were (i) higher depreciation expense due to the step-up of depreciable assets and assignment of purchase price to certain amortizable intangible assets and (ii) lower interest expense (though not cash payments) for the remaining life of the related long-term debt due to its revaluation and related debt premium amortization. Depreciation and amortization expense recognized in the successor periods subsequent to March 25, 2012 increased by approximately $8 million per quarter as a direct result of the application of the new basis of accounting. Interest expense recognized in the successor periods subsequent to March 25, 2012 decreased by approximately $8 million per quarter as a direct result of the application of the new basis of accounting.</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successor and predecessor periods reflect certain merger-related expenses, which are not expected to have a continuing impact on the results going forward, and those amounts are discussed in the results below.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illustrates the results of operations of the Company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jc w:val="right"/>
              <w:ind w:right="117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25"/>
        </w:trPr>
        <w:tc>
          <w:tcPr>
            <w:tcW w:w="6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Three Months</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7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26, 2012) to</w:t>
            </w:r>
          </w:p>
        </w:tc>
        <w:tc>
          <w:tcPr>
            <w:tcW w:w="1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January 1, 2012 to</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6"/>
              </w:rPr>
              <w:t>March 25,</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Transportation and storage of natural gas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tcPr>
          <w:p>
            <w:pPr>
              <w:spacing w:after="0"/>
              <w:rPr>
                <w:sz w:val="21"/>
                <w:szCs w:val="21"/>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LNG terminalling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tcBorders>
              <w:bottom w:val="single" w:sz="8" w:color="CCEEFF"/>
            </w:tcBorders>
            <w:shd w:val="clear" w:color="auto" w:fill="CCEEFF"/>
          </w:tcPr>
          <w:p>
            <w:pPr>
              <w:ind w:left="360"/>
              <w:spacing w:after="0" w:line="264" w:lineRule="exact"/>
              <w:rPr>
                <w:sz w:val="20"/>
                <w:szCs w:val="20"/>
                <w:color w:val="auto"/>
              </w:rPr>
            </w:pPr>
            <w:r>
              <w:rPr>
                <w:rFonts w:ascii="Arial" w:cs="Arial" w:eastAsia="Arial" w:hAnsi="Arial"/>
                <w:sz w:val="18"/>
                <w:szCs w:val="18"/>
                <w:color w:val="auto"/>
              </w:rPr>
              <w:t xml:space="preserve">Total operating revenues </w:t>
            </w:r>
            <w:r>
              <w:rPr>
                <w:rFonts w:ascii="Arial" w:cs="Arial" w:eastAsia="Arial" w:hAnsi="Arial"/>
                <w:sz w:val="25"/>
                <w:szCs w:val="25"/>
                <w:color w:val="auto"/>
                <w:vertAlign w:val="superscript"/>
              </w:rPr>
              <w:t>(1)</w:t>
            </w: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right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7"/>
        </w:trPr>
        <w:tc>
          <w:tcPr>
            <w:tcW w:w="6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maintenance and general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 - affiliates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28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right w:val="single" w:sz="8" w:color="auto"/>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 xml:space="preserve">Panhandle natural gas volumes transported (TBtu):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PEPL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6280" w:type="dxa"/>
            <w:vAlign w:val="bottom"/>
          </w:tcPr>
          <w:p>
            <w:pPr>
              <w:ind w:left="200"/>
              <w:spacing w:after="0"/>
              <w:rPr>
                <w:sz w:val="20"/>
                <w:szCs w:val="20"/>
                <w:color w:val="auto"/>
              </w:rPr>
            </w:pPr>
            <w:r>
              <w:rPr>
                <w:rFonts w:ascii="Arial" w:cs="Arial" w:eastAsia="Arial" w:hAnsi="Arial"/>
                <w:sz w:val="18"/>
                <w:szCs w:val="18"/>
                <w:color w:val="auto"/>
              </w:rPr>
              <w:t>Trunkline</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Sea Robin</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20" w:hanging="332"/>
        <w:spacing w:after="0" w:line="227"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Reservation revenues comprised 89% of total operating revenues for the period ended March 31, 2013. Reservation revenues comprised 88% and 88% of total operating revenues for the periods from March 26, 2012 to March 31, 2012 and January 1, 2012 to March 25, 2012, respectively.</w:t>
      </w:r>
    </w:p>
    <w:p>
      <w:pPr>
        <w:spacing w:after="0" w:line="37"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transportation deliveries made throughout the Company’s pipeline network.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significant items and variances impacting the Company’s net income during the periods presented above:</w:t>
      </w:r>
    </w:p>
    <w:p>
      <w:pPr>
        <w:spacing w:after="0" w:line="171" w:lineRule="exact"/>
        <w:rPr>
          <w:sz w:val="20"/>
          <w:szCs w:val="20"/>
          <w:color w:val="auto"/>
        </w:rPr>
      </w:pPr>
    </w:p>
    <w:p>
      <w:pPr>
        <w:jc w:val="both"/>
        <w:ind w:left="500" w:hanging="330"/>
        <w:spacing w:after="0" w:line="264"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Revenues</w:t>
      </w:r>
      <w:r>
        <w:rPr>
          <w:rFonts w:ascii="Arial" w:cs="Arial" w:eastAsia="Arial" w:hAnsi="Arial"/>
          <w:sz w:val="18"/>
          <w:szCs w:val="18"/>
          <w:color w:val="auto"/>
        </w:rPr>
        <w:t>. Operating revenues for the three months ended March 31, 2013 decreased compared to the successor and predecessor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primarily due to lower capacity sold at lower rates and lower parking revenues, the impacts from which were partially offset by higher usage revenues as a result of higher volumes.</w:t>
      </w:r>
    </w:p>
    <w:p>
      <w:pPr>
        <w:spacing w:after="0" w:line="73" w:lineRule="exact"/>
        <w:rPr>
          <w:rFonts w:ascii="Arial" w:cs="Arial" w:eastAsia="Arial" w:hAnsi="Arial"/>
          <w:sz w:val="18"/>
          <w:szCs w:val="18"/>
          <w:i w:val="1"/>
          <w:iCs w:val="1"/>
          <w:color w:val="auto"/>
        </w:rPr>
      </w:pPr>
    </w:p>
    <w:p>
      <w:pPr>
        <w:jc w:val="both"/>
        <w:ind w:left="500" w:hanging="330"/>
        <w:spacing w:after="0" w:line="264"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The period from March 26, 2012 to March 31, 2012 included merger-related expenses of approximately $41 million, offset by a</w:t>
      </w:r>
      <w:r>
        <w:rPr>
          <w:rFonts w:ascii="Arial" w:cs="Arial" w:eastAsia="Arial" w:hAnsi="Arial"/>
          <w:sz w:val="18"/>
          <w:szCs w:val="18"/>
          <w:i w:val="1"/>
          <w:iCs w:val="1"/>
          <w:color w:val="auto"/>
        </w:rPr>
        <w:t xml:space="preserve"> </w:t>
      </w:r>
      <w:r>
        <w:rPr>
          <w:rFonts w:ascii="Arial" w:cs="Arial" w:eastAsia="Arial" w:hAnsi="Arial"/>
          <w:sz w:val="18"/>
          <w:szCs w:val="18"/>
          <w:color w:val="auto"/>
        </w:rPr>
        <w:t>curtailment gain on our OPEB plans of $11 million. The successor periods also reflected higher depreciation due to the step-up in depreciable assets in connection with the ETE Merger and lower corporate allocations due to merger-related synergies.</w:t>
      </w:r>
    </w:p>
    <w:p>
      <w:pPr>
        <w:spacing w:after="0" w:line="73" w:lineRule="exact"/>
        <w:rPr>
          <w:rFonts w:ascii="Arial" w:cs="Arial" w:eastAsia="Arial" w:hAnsi="Arial"/>
          <w:sz w:val="18"/>
          <w:szCs w:val="18"/>
          <w:i w:val="1"/>
          <w:iCs w:val="1"/>
          <w:color w:val="auto"/>
        </w:rPr>
      </w:pPr>
    </w:p>
    <w:p>
      <w:pPr>
        <w:ind w:left="500" w:hanging="330"/>
        <w:spacing w:after="0" w:line="277"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lower in the three months ended March 31, 2013 primarily due to amortization of the long-term debt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recorded in connection with the ETE Merger as well as the termination of interest rate swaps.</w:t>
      </w:r>
    </w:p>
    <w:p>
      <w:pPr>
        <w:spacing w:after="0" w:line="62" w:lineRule="exact"/>
        <w:rPr>
          <w:rFonts w:ascii="Arial" w:cs="Arial" w:eastAsia="Arial" w:hAnsi="Arial"/>
          <w:sz w:val="18"/>
          <w:szCs w:val="18"/>
          <w:i w:val="1"/>
          <w:iCs w:val="1"/>
          <w:color w:val="auto"/>
        </w:rPr>
      </w:pPr>
    </w:p>
    <w:p>
      <w:pPr>
        <w:ind w:left="500" w:hanging="330"/>
        <w:spacing w:after="0" w:line="277"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income tax rate for the period from March 26,2012 to March 31, 2012 was lower than the other periods presented above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non-deductible executive compensation expenses included in the merger-related expenses.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Supplemental Pro Forma Financial Information</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unaudited pro forma consolidated financial information of the Company has been prepared in accordance with Article 11 of Regulation S-X and reflects the pro forma impacts of the ETE Merger for the three months ended ended March 31, 2012, giving effect to the ETE Merger as if it had occurred on January 1, 2012. This unaudited pro forma financial information is provided to supplement the discussion and analysis of the historical financial information and should be read in conjunction with such historical financial information. This unaudited pro forma information is for illustrative purposes only and is not necessarily indicative of the financial results that would have occurred if the ETE Merger had been consummated on January 1,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1"/>
              </w:rPr>
              <w:t>Successor</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3"/>
              </w:rPr>
              <w:t>Predecessor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5"/>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93"/>
              </w:rPr>
              <w:t>Period from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89"/>
              </w:rPr>
              <w:t>Acquisition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Period from</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Pro Forma Three</w:t>
            </w:r>
          </w:p>
        </w:tc>
      </w:tr>
      <w:tr>
        <w:trPr>
          <w:trHeight w:val="216"/>
        </w:trPr>
        <w:tc>
          <w:tcPr>
            <w:tcW w:w="4120" w:type="dxa"/>
            <w:vAlign w:val="bottom"/>
          </w:tcPr>
          <w:p>
            <w:pPr>
              <w:spacing w:after="0"/>
              <w:rPr>
                <w:sz w:val="18"/>
                <w:szCs w:val="18"/>
                <w:color w:val="auto"/>
              </w:rPr>
            </w:pPr>
          </w:p>
        </w:tc>
        <w:tc>
          <w:tcPr>
            <w:tcW w:w="188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2"/>
              </w:rPr>
              <w:t>(March 26, 2012)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January 1, 2012 to</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25,</w:t>
            </w:r>
          </w:p>
        </w:tc>
        <w:tc>
          <w:tcPr>
            <w:tcW w:w="16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rPr>
              <w:t>Pro Forma</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maintenance and general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(b)</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37"/>
        </w:trPr>
        <w:tc>
          <w:tcPr>
            <w:tcW w:w="4120" w:type="dxa"/>
            <w:vAlign w:val="bottom"/>
          </w:tcPr>
          <w:p>
            <w:pPr>
              <w:ind w:left="36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Interest (expense) benefit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income -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4120" w:type="dxa"/>
            <w:vAlign w:val="bottom"/>
          </w:tcPr>
          <w:p>
            <w:pPr>
              <w:ind w:left="120"/>
              <w:spacing w:after="0"/>
              <w:rPr>
                <w:sz w:val="20"/>
                <w:szCs w:val="20"/>
                <w:color w:val="auto"/>
              </w:rPr>
            </w:pPr>
            <w:r>
              <w:rPr>
                <w:rFonts w:ascii="Arial" w:cs="Arial" w:eastAsia="Arial" w:hAnsi="Arial"/>
                <w:sz w:val="18"/>
                <w:szCs w:val="18"/>
                <w:color w:val="auto"/>
              </w:rPr>
              <w:t>Total other (expenses) benefit, net</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(d)</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eliminate the merger-related costs incurred by the Company in connection with the ETE Merger, including change in control and severance costs. These costs are eliminated from the Company’s pro forma income statement because such costs would not have a continuing impact on the Company’s results of operations.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record incremental depreciation on the excess purchase price allocated to property, plant and equipment based on a weighted average useful life of 24 years.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adjust amortization included in interest expense to (i) reverse historical amortization of financing costs and fair value adjustments related to debt and (ii) record pro forma amortization related to the pro forma adjustment of the Company’s debt to fair value.</w:t>
      </w:r>
    </w:p>
    <w:p>
      <w:pPr>
        <w:spacing w:after="0" w:line="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 reflect income tax impacts from the pro forma adjustments to pre-tax income, including the elimination of the dividend received deduction recorded in the historical income tax provision for the predecessor periods in connection with the Company’s investment in Citrus.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Item 3, Quantitative and Qualitative Disclosures About Market Risk, has been omitted from this report pursuant to the reduced disclosure format permitted by General Instruction H to Form 10-Q.</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established disclosure controls and procedures to ensure that information required to be disclosed by the Company, including consolidated entities, in reports filed or submitted under the Exchange Act, is recorded, processed, summarized and reported within the time periods specified in the SEC’s rules and forms. The Company’s disclosure controls and procedures are designed to ensure that information required to be disclosed in the reports it files or submits under the Exchange Act is accumulated and communicated to management, including the Company’s COO and CFO, as appropriate, to allow timely decisions regarding required disclosure. The Company performed an evaluation under the supervision and with the participation of management, including its COO and CFO, and with the participation of personnel from its Legal, Internal Audit, Risk Management and Financial Reporting Departments, of the effectiveness of the design and operation of the Company’s disclosure controls and procedures (as defined in Exchange Act Rule 13a-15(e)) as of the end of the period covered by this report. Based on that evaluation, Panhandle’s COO and CFO concluded that the Company’s disclosure controls and procedures were effective as of March 31,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Subsequent to the merger with ETE in March 2012, the Partnership's internal controls over financial reporting, including certain disclosure controls and corporate governance procedures, have been impacted by changes made to conform to the existing controls of ETP and ETE. During the three months ended March 31, 2013, the Partnership's accounting systems were transitioned to the accounting systems of ETP and ETE and accordingly certain controls changed at that time. None of these changes are in response to any identified deficiency or weakness in the Partnership's internal control over financial reporting.</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other changes in the Partnership's internal controls over financial reporting that have materially affected, or are reasonably likely to affect, its internal controls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 party to or has property subject to litigation and other proceedings, including matters arising under provisions relating to the protection of the environment, as described in Note 11 in this Quarterly Report on Form 10-Q and in Note 15 in the Company’s Form 10-K for the year ended December 31, 2012.</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federal and state requirements for the protection of the environment, including those for the discharge of hazardous materials and remediation of contaminated sites. As a result, the Company is a party to or has its property subject to various other lawsuits or proceedings involving environmental protection matters. For information regarding these matters, see Note 11 in this Quarterly Report on Form 10-Q and Note 15 included in the Company’s Form 10-K for the year ended December 31, 2012.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to the risk factors previously disclosed in the Company’s Form 10-K filed with the SEC on March 1, 2013.</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spacing w:after="0"/>
              <w:rPr>
                <w:sz w:val="20"/>
                <w:szCs w:val="20"/>
                <w:color w:val="auto"/>
              </w:rPr>
            </w:pPr>
          </w:p>
        </w:tc>
      </w:tr>
      <w:tr>
        <w:trPr>
          <w:trHeight w:val="34"/>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Certificate by Principal Executive Officer pursuant to Rule 13a – 14(a) or 15d – 14(a) promulgated under the Securities Exchange Act</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Certificate by Principle Financial Officer pursuant to Rule 13a – 14(a) or 15d – 14(a) promulgated under the Securities Exchange Act</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Certificate by Principle Executive Officer pursuant to Rule 13a – 14(b) or 15d – 14(b) promulgated under the Securities Exchange Act</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 1934 and Section 906 of the Sarbanes-Oxley Act of 2002, 18 U.S.C. Section 1350.</w:t>
            </w:r>
          </w:p>
        </w:tc>
      </w:tr>
      <w:tr>
        <w:trPr>
          <w:trHeight w:val="256"/>
        </w:trPr>
        <w:tc>
          <w:tcPr>
            <w:tcW w:w="150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Certificate by Principle Financial Officer pursuant to Rule 13a – 14(b) or 15d – 14(b) promulgated under the Securities Exchange Act</w:t>
            </w: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 1934 and Section 906 of the Sarbanes-Oxley Act of 2002, 18 U.S.C. Section 1350.</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Definitions Document</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Panhandle Eastern Pipe Line Company, LP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PANHANDLE EASTERN PIPE LINE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Arial" w:cs="Arial" w:eastAsia="Arial" w:hAnsi="Arial"/>
                <w:sz w:val="18"/>
                <w:szCs w:val="18"/>
                <w:color w:val="auto"/>
              </w:rPr>
              <w:t>Date:  May 9, 2013</w:t>
            </w:r>
          </w:p>
        </w:tc>
        <w:tc>
          <w:tcPr>
            <w:tcW w:w="7020" w:type="dxa"/>
            <w:vAlign w:val="bottom"/>
            <w:gridSpan w:val="3"/>
          </w:tcPr>
          <w:p>
            <w:pPr>
              <w:ind w:left="2400"/>
              <w:spacing w:after="0"/>
              <w:rPr>
                <w:sz w:val="20"/>
                <w:szCs w:val="20"/>
                <w:color w:val="auto"/>
              </w:rPr>
            </w:pPr>
            <w:r>
              <w:rPr>
                <w:rFonts w:ascii="Arial" w:cs="Arial" w:eastAsia="Arial" w:hAnsi="Arial"/>
                <w:sz w:val="18"/>
                <w:szCs w:val="18"/>
                <w:color w:val="auto"/>
              </w:rPr>
              <w:t>By: /s/  MARTIN SALINAS, JR.</w:t>
            </w:r>
          </w:p>
        </w:tc>
      </w:tr>
      <w:tr>
        <w:trPr>
          <w:trHeight w:val="20"/>
        </w:trPr>
        <w:tc>
          <w:tcPr>
            <w:tcW w:w="3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22"/>
        </w:trPr>
        <w:tc>
          <w:tcPr>
            <w:tcW w:w="3880" w:type="dxa"/>
            <w:vAlign w:val="bottom"/>
          </w:tcPr>
          <w:p>
            <w:pPr>
              <w:spacing w:after="0"/>
              <w:rPr>
                <w:sz w:val="19"/>
                <w:szCs w:val="19"/>
                <w:color w:val="auto"/>
              </w:rPr>
            </w:pPr>
          </w:p>
        </w:tc>
        <w:tc>
          <w:tcPr>
            <w:tcW w:w="7020" w:type="dxa"/>
            <w:vAlign w:val="bottom"/>
            <w:gridSpan w:val="3"/>
          </w:tcPr>
          <w:p>
            <w:pPr>
              <w:ind w:left="2400"/>
              <w:spacing w:after="0"/>
              <w:rPr>
                <w:sz w:val="20"/>
                <w:szCs w:val="20"/>
                <w:color w:val="auto"/>
              </w:rPr>
            </w:pPr>
            <w:r>
              <w:rPr>
                <w:rFonts w:ascii="Arial" w:cs="Arial" w:eastAsia="Arial" w:hAnsi="Arial"/>
                <w:sz w:val="18"/>
                <w:szCs w:val="18"/>
                <w:color w:val="auto"/>
              </w:rPr>
              <w:t>Martin Salinas, Jr.</w:t>
            </w:r>
          </w:p>
        </w:tc>
      </w:tr>
      <w:tr>
        <w:trPr>
          <w:trHeight w:val="216"/>
        </w:trPr>
        <w:tc>
          <w:tcPr>
            <w:tcW w:w="3880" w:type="dxa"/>
            <w:vAlign w:val="bottom"/>
          </w:tcPr>
          <w:p>
            <w:pPr>
              <w:spacing w:after="0"/>
              <w:rPr>
                <w:sz w:val="18"/>
                <w:szCs w:val="18"/>
                <w:color w:val="auto"/>
              </w:rPr>
            </w:pPr>
          </w:p>
        </w:tc>
        <w:tc>
          <w:tcPr>
            <w:tcW w:w="7020" w:type="dxa"/>
            <w:vAlign w:val="bottom"/>
            <w:gridSpan w:val="3"/>
          </w:tcPr>
          <w:p>
            <w:pPr>
              <w:ind w:left="2400"/>
              <w:spacing w:after="0"/>
              <w:rPr>
                <w:sz w:val="20"/>
                <w:szCs w:val="20"/>
                <w:color w:val="auto"/>
              </w:rPr>
            </w:pPr>
            <w:r>
              <w:rPr>
                <w:rFonts w:ascii="Arial" w:cs="Arial" w:eastAsia="Arial" w:hAnsi="Arial"/>
                <w:sz w:val="18"/>
                <w:szCs w:val="18"/>
                <w:color w:val="auto"/>
                <w:w w:val="92"/>
              </w:rPr>
              <w:t>Chief Financial Officer (duly authorized to sign on behalf of the</w:t>
            </w:r>
          </w:p>
        </w:tc>
      </w:tr>
      <w:tr>
        <w:trPr>
          <w:trHeight w:val="230"/>
        </w:trPr>
        <w:tc>
          <w:tcPr>
            <w:tcW w:w="3880" w:type="dxa"/>
            <w:vAlign w:val="bottom"/>
          </w:tcPr>
          <w:p>
            <w:pPr>
              <w:spacing w:after="0"/>
              <w:rPr>
                <w:sz w:val="20"/>
                <w:szCs w:val="20"/>
                <w:color w:val="auto"/>
              </w:rPr>
            </w:pPr>
          </w:p>
        </w:tc>
        <w:tc>
          <w:tcPr>
            <w:tcW w:w="7020" w:type="dxa"/>
            <w:vAlign w:val="bottom"/>
            <w:gridSpan w:val="3"/>
          </w:tcPr>
          <w:p>
            <w:pPr>
              <w:ind w:left="2400"/>
              <w:spacing w:after="0"/>
              <w:rPr>
                <w:sz w:val="20"/>
                <w:szCs w:val="20"/>
                <w:color w:val="auto"/>
              </w:rPr>
            </w:pPr>
            <w:r>
              <w:rPr>
                <w:rFonts w:ascii="Arial" w:cs="Arial" w:eastAsia="Arial" w:hAnsi="Arial"/>
                <w:sz w:val="18"/>
                <w:szCs w:val="18"/>
                <w:color w:val="auto"/>
              </w:rPr>
              <w:t>registrant)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 AS AMENDED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Kelcy L. Warren,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Panhandle Eastern Pipe Line Company, LP;</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KELCY L. WARREN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Kelcy L. Warren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 AS AMENDED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Martin Salinas, Jr.,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Panhandle Eastern Pipe Line Company, LP;</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May 9, 2013</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MARTIN SALINAS, JR.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Martin Salinas, Jr.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6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Form 10-Q of Panhandle Eastern Pipe Line Company, LP (the “Company”) for the quarter ended March 31, 2013, as filed with the Securities and Exchange Commission on the date hereof (the “Report”), I, Kelcy L. Warren, Chief Executive Officer of the Company, certify, pursuant to 18 U.S.C. § 1350, as adopted pursuant to § 906 of the Sarbanes-Oxley Act of 2002, that to my knowledge (i) the Report fully complies with the requirements of Section 13(a) or 15(d) of the Securities Exchange Act of 1934, as amended, except as otherwise noted under Item 9A therein,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KELCY L. WARREN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Kelcy L. Warren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solely to accompany the Report pursuant to 18 U.S.C.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documents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66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Form 10-Q of Panhandle Eastern Pipe Line Company, LP (the “Company”) for the quarter ended March 31, 2013, as filed with the Securities and Exchange Commission on the date hereof (the “Report”), I, Martin Salinas, Jr., Chief Financial Officer of the Company, certify, pursuant to 18 U.S.C. § 1350, as adopted pursuant to § 906 of the Sarbanes-Oxley Act of 2002, that to my knowledge (i) the Report fully complies with the requirements of Section 13(a) or 15(d) of the Securities Exchange Act of 1934, as amended, except as otherwise noted under Item 9A therein,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MARTIN SALINAS, JR.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Martin Salinas, Jr.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Certification is being furnished solely to accompany the Report pursuant to 18 U.S.C.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documents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
      <w:numFmt w:val="bullet"/>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lvl w:ilvl="1">
      <w:lvlJc w:val="left"/>
      <w:lvlText w:val="(%2)"/>
      <w:numFmt w:val="decimal"/>
      <w:start w:val="1"/>
    </w:lvl>
  </w:abstractNum>
  <w:abstractNum w:abstractNumId="6">
    <w:nsid w:val="1190CDE7"/>
    <w:multiLevelType w:val="hybridMultilevel"/>
    <w:lvl w:ilvl="0">
      <w:lvlJc w:val="left"/>
      <w:lvlText w:val="%1."/>
      <w:numFmt w:val="decimal"/>
      <w:start w:val="5"/>
    </w:lvl>
    <w:lvl w:ilvl="1">
      <w:lvlJc w:val="left"/>
      <w:lvlText w:val="%2"/>
      <w:numFmt w:val="decimal"/>
      <w:start w:val="1"/>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1"/>
    </w:lvl>
    <w:lvl w:ilvl="1">
      <w:lvlJc w:val="left"/>
      <w:lvlText w:val="(%2)"/>
      <w:numFmt w:val="decimal"/>
      <w:start w:val="1"/>
    </w:lvl>
  </w:abstractNum>
  <w:abstractNum w:abstractNumId="9">
    <w:nsid w:val="3352255A"/>
    <w:multiLevelType w:val="hybridMultilevel"/>
    <w:lvl w:ilvl="0">
      <w:lvlJc w:val="left"/>
      <w:lvlText w:val="%1."/>
      <w:numFmt w:val="decimal"/>
      <w:start w:val="9"/>
    </w:lvl>
    <w:lvl w:ilvl="1">
      <w:lvlJc w:val="left"/>
      <w:lvlText w:val="%2"/>
      <w:numFmt w:val="decimal"/>
      <w:start w:val="1"/>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2019-12-05T14:08:14Z</dcterms:created>
  <dcterms:modified xsi:type="dcterms:W3CDTF">2019-12-05T14:08:14Z</dcterms:modified>
</cp:coreProperties>
</file>